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D52" w:rsidRDefault="003B3D52" w:rsidP="003B3D52">
      <w:pPr>
        <w:pStyle w:val="Default"/>
        <w:ind w:firstLine="709"/>
        <w:jc w:val="center"/>
        <w:rPr>
          <w:b/>
        </w:rPr>
      </w:pPr>
      <w:r>
        <w:rPr>
          <w:b/>
        </w:rPr>
        <w:t>УКАЗАНИЯ ЗА ПОДГОТОВКА НА ОФЕРТА ЗА ВЪЗЛАГАНЕ НА ОБЩЕСТВЕНА ПОРЪЧКА ЧРЕЗ ПУБЛИЧНА ПОКАНА</w:t>
      </w:r>
    </w:p>
    <w:p w:rsidR="003B3D52" w:rsidRDefault="003B3D52" w:rsidP="003B3D52">
      <w:pPr>
        <w:jc w:val="both"/>
        <w:rPr>
          <w:color w:val="000000"/>
        </w:rPr>
      </w:pPr>
    </w:p>
    <w:p w:rsidR="003B3D52" w:rsidRDefault="003B3D52" w:rsidP="003B3D52">
      <w:pPr>
        <w:jc w:val="both"/>
        <w:rPr>
          <w:color w:val="000000"/>
        </w:rPr>
      </w:pPr>
    </w:p>
    <w:p w:rsidR="003B3D52" w:rsidRPr="00494DED" w:rsidRDefault="003B3D52" w:rsidP="003B3D52">
      <w:pPr>
        <w:jc w:val="both"/>
        <w:rPr>
          <w:b/>
          <w:lang w:val="ru-RU"/>
        </w:rPr>
      </w:pPr>
      <w:r w:rsidRPr="00494DED">
        <w:rPr>
          <w:b/>
          <w:lang w:val="ru-RU"/>
        </w:rPr>
        <w:t>Настоящите указания са валидни и се прилагат за подготовката на оферти</w:t>
      </w:r>
      <w:r>
        <w:rPr>
          <w:b/>
          <w:lang w:val="ru-RU"/>
        </w:rPr>
        <w:t xml:space="preserve"> </w:t>
      </w:r>
      <w:r w:rsidRPr="00494DED">
        <w:rPr>
          <w:b/>
          <w:lang w:val="ru-RU"/>
        </w:rPr>
        <w:t xml:space="preserve">при провеждане на </w:t>
      </w:r>
      <w:r>
        <w:rPr>
          <w:b/>
          <w:lang w:val="ru-RU"/>
        </w:rPr>
        <w:t>п</w:t>
      </w:r>
      <w:r w:rsidRPr="00494DED">
        <w:rPr>
          <w:b/>
          <w:lang w:val="ru-RU"/>
        </w:rPr>
        <w:t>роцедури за възлагане на обществени поръчки</w:t>
      </w:r>
      <w:r>
        <w:rPr>
          <w:b/>
          <w:lang w:val="ru-RU"/>
        </w:rPr>
        <w:t xml:space="preserve"> чрез публична покана.</w:t>
      </w:r>
    </w:p>
    <w:p w:rsidR="003B3D52" w:rsidRPr="00056F77" w:rsidRDefault="003B3D52" w:rsidP="003B3D52">
      <w:pPr>
        <w:jc w:val="both"/>
        <w:rPr>
          <w:color w:val="000000"/>
          <w:lang w:val="ru-RU"/>
        </w:rPr>
      </w:pPr>
    </w:p>
    <w:p w:rsidR="003B3D52" w:rsidRDefault="003B3D52" w:rsidP="003B3D52">
      <w:pPr>
        <w:jc w:val="both"/>
      </w:pPr>
      <w:r>
        <w:t>1.1. Офертата на всеки участник следва да съдържа: „Оферта”, „Техническо предложение” и „Ценово предложение”.</w:t>
      </w:r>
    </w:p>
    <w:p w:rsidR="003B3D52" w:rsidRDefault="003B3D52" w:rsidP="003B3D52">
      <w:pPr>
        <w:jc w:val="both"/>
      </w:pPr>
      <w:r>
        <w:t>1.2. При изготвяне на офертата всеки участник следва да се придържа точно към обявените от Възложителя условия и образци.</w:t>
      </w:r>
    </w:p>
    <w:p w:rsidR="003B3D52" w:rsidRDefault="003B3D52" w:rsidP="003B3D52">
      <w:pPr>
        <w:jc w:val="both"/>
      </w:pPr>
      <w:r>
        <w:t>1.3. Всички образци на оферта, техническо и ценово предложение могат да бъдат намерени в профила на купувача.</w:t>
      </w:r>
    </w:p>
    <w:p w:rsidR="003B3D52" w:rsidRDefault="003B3D52" w:rsidP="003B3D52">
      <w:pPr>
        <w:jc w:val="both"/>
        <w:rPr>
          <w:lang w:val="ru-RU"/>
        </w:rPr>
      </w:pPr>
      <w:r>
        <w:t xml:space="preserve">1.4.  </w:t>
      </w:r>
      <w:r w:rsidRPr="00494DED">
        <w:rPr>
          <w:lang w:val="ru-RU"/>
        </w:rPr>
        <w:t xml:space="preserve">Участникът трябва да проучи всички инструкции, образци, условия и спецификации в </w:t>
      </w:r>
      <w:r>
        <w:rPr>
          <w:lang w:val="ru-RU"/>
        </w:rPr>
        <w:t>поканата и техническата спецификация на възложителя</w:t>
      </w:r>
      <w:r w:rsidRPr="00494DED">
        <w:rPr>
          <w:lang w:val="ru-RU"/>
        </w:rPr>
        <w:t xml:space="preserve">. Невъзможността да предостави цялата информация, изисквана в </w:t>
      </w:r>
      <w:r>
        <w:rPr>
          <w:lang w:val="ru-RU"/>
        </w:rPr>
        <w:t>поканата и образеца на оферта</w:t>
      </w:r>
      <w:r w:rsidRPr="00494DED">
        <w:rPr>
          <w:lang w:val="ru-RU"/>
        </w:rPr>
        <w:t xml:space="preserve"> или представянето на оферта, неотговарящ</w:t>
      </w:r>
      <w:r>
        <w:rPr>
          <w:lang w:val="ru-RU"/>
        </w:rPr>
        <w:t>а</w:t>
      </w:r>
      <w:r w:rsidRPr="00494DED">
        <w:rPr>
          <w:lang w:val="ru-RU"/>
        </w:rPr>
        <w:t xml:space="preserve"> на </w:t>
      </w:r>
      <w:r>
        <w:rPr>
          <w:lang w:val="ru-RU"/>
        </w:rPr>
        <w:t>изискванията</w:t>
      </w:r>
      <w:r w:rsidRPr="00494DED">
        <w:rPr>
          <w:lang w:val="ru-RU"/>
        </w:rPr>
        <w:t xml:space="preserve"> при всички случаи е риск за участника</w:t>
      </w:r>
      <w:r>
        <w:rPr>
          <w:lang w:val="ru-RU"/>
        </w:rPr>
        <w:t xml:space="preserve"> </w:t>
      </w:r>
      <w:r w:rsidRPr="00494DED">
        <w:rPr>
          <w:lang w:val="ru-RU"/>
        </w:rPr>
        <w:t>и може да доведе до отстраняването му от процедурата.</w:t>
      </w:r>
    </w:p>
    <w:p w:rsidR="003B3D52" w:rsidRDefault="003B3D52" w:rsidP="003B3D52">
      <w:pPr>
        <w:jc w:val="both"/>
        <w:rPr>
          <w:lang w:val="ru-RU"/>
        </w:rPr>
      </w:pPr>
      <w:r>
        <w:rPr>
          <w:lang w:val="ru-RU"/>
        </w:rPr>
        <w:t xml:space="preserve">1.5. </w:t>
      </w:r>
      <w:r w:rsidRPr="00494DED">
        <w:rPr>
          <w:lang w:val="ru-RU"/>
        </w:rPr>
        <w:t>Количеството, вида, качеството и функционалните характеристики на предложените дейности (СМР, услуга или доставка) трябва да отговарят напълно на изискванията на Техническите спецификации и условията за изпълнение на поръчкат</w:t>
      </w:r>
      <w:r>
        <w:rPr>
          <w:lang w:val="ru-RU"/>
        </w:rPr>
        <w:t>а</w:t>
      </w:r>
      <w:r w:rsidRPr="00494DED">
        <w:rPr>
          <w:lang w:val="ru-RU"/>
        </w:rPr>
        <w:t>.</w:t>
      </w:r>
    </w:p>
    <w:p w:rsidR="003B3D52" w:rsidRDefault="003B3D52" w:rsidP="003B3D52">
      <w:pPr>
        <w:jc w:val="both"/>
        <w:rPr>
          <w:lang w:val="ru-RU"/>
        </w:rPr>
      </w:pPr>
      <w:r>
        <w:rPr>
          <w:lang w:val="ru-RU"/>
        </w:rPr>
        <w:t xml:space="preserve">1.6. </w:t>
      </w:r>
      <w:r w:rsidRPr="00494DED">
        <w:rPr>
          <w:lang w:val="ru-RU"/>
        </w:rPr>
        <w:t xml:space="preserve">Вариантност на офертите се разрешава само ако това е изрично позволено в </w:t>
      </w:r>
      <w:r>
        <w:rPr>
          <w:lang w:val="ru-RU"/>
        </w:rPr>
        <w:t>поканата</w:t>
      </w:r>
      <w:r w:rsidRPr="00494DED">
        <w:rPr>
          <w:lang w:val="ru-RU"/>
        </w:rPr>
        <w:t xml:space="preserve"> за участие.</w:t>
      </w:r>
    </w:p>
    <w:p w:rsidR="003B3D52" w:rsidRDefault="003B3D52" w:rsidP="003B3D52">
      <w:pPr>
        <w:jc w:val="both"/>
        <w:rPr>
          <w:lang w:val="ru-RU"/>
        </w:rPr>
      </w:pPr>
      <w:r>
        <w:rPr>
          <w:lang w:val="ru-RU"/>
        </w:rPr>
        <w:t xml:space="preserve">1.7. </w:t>
      </w:r>
      <w:r w:rsidRPr="00494DED">
        <w:rPr>
          <w:lang w:val="ru-RU"/>
        </w:rPr>
        <w:t xml:space="preserve">Офертата се подписва от лицето/лицата представляващи участника или от надлежно упълномощено от тях лице или лица, като в офертата се прилага нотариално заверено пълномощно от представляващия дружеството. Декларациите в </w:t>
      </w:r>
      <w:r>
        <w:rPr>
          <w:lang w:val="ru-RU"/>
        </w:rPr>
        <w:t>офертата, ако се изискват в конкретната поръчка,</w:t>
      </w:r>
      <w:r w:rsidRPr="00494DED">
        <w:rPr>
          <w:lang w:val="ru-RU"/>
        </w:rPr>
        <w:t xml:space="preserve"> се подписват задължително от лицата,</w:t>
      </w:r>
      <w:r>
        <w:rPr>
          <w:lang w:val="ru-RU"/>
        </w:rPr>
        <w:t xml:space="preserve"> които го представляват по регистрация</w:t>
      </w:r>
      <w:r w:rsidRPr="00494DED">
        <w:rPr>
          <w:lang w:val="ru-RU"/>
        </w:rPr>
        <w:t>. Декларации подписани от упълномощено лице или лица не се приемат за валидни.</w:t>
      </w:r>
    </w:p>
    <w:p w:rsidR="003B3D52" w:rsidRDefault="003B3D52" w:rsidP="003B3D52">
      <w:pPr>
        <w:jc w:val="both"/>
        <w:rPr>
          <w:lang w:val="ru-RU"/>
        </w:rPr>
      </w:pPr>
      <w:r>
        <w:rPr>
          <w:lang w:val="ru-RU"/>
        </w:rPr>
        <w:t xml:space="preserve">1.8. </w:t>
      </w:r>
      <w:r w:rsidRPr="00494DED">
        <w:t>Участниците</w:t>
      </w:r>
      <w:r w:rsidRPr="00494DED">
        <w:rPr>
          <w:lang w:val="ru-RU"/>
        </w:rPr>
        <w:t xml:space="preserve"> трябва да представят оферта за целия обем на обществената поръчка от процедурата. Ако в </w:t>
      </w:r>
      <w:r>
        <w:rPr>
          <w:lang w:val="ru-RU"/>
        </w:rPr>
        <w:t>поканата з</w:t>
      </w:r>
      <w:r w:rsidRPr="00494DED">
        <w:rPr>
          <w:lang w:val="ru-RU"/>
        </w:rPr>
        <w:t xml:space="preserve">а участие изрично е посочено, че </w:t>
      </w:r>
      <w:r w:rsidRPr="00494DED">
        <w:t>участниците</w:t>
      </w:r>
      <w:r w:rsidRPr="00494DED">
        <w:rPr>
          <w:lang w:val="ru-RU"/>
        </w:rPr>
        <w:t xml:space="preserve"> могат да подадат оферта за една или няколко обособени позиции, то офертата задължително трябва да включва пълния обем по предложените от него обособени позиции. Предложения за част от обществената поръчка или част от съответната обособена позиция (група) не се разглеждат и участникът представил т</w:t>
      </w:r>
      <w:r>
        <w:rPr>
          <w:lang w:val="ru-RU"/>
        </w:rPr>
        <w:t>акава оферта се отстранява</w:t>
      </w:r>
      <w:r w:rsidRPr="00494DED">
        <w:rPr>
          <w:lang w:val="ru-RU"/>
        </w:rPr>
        <w:t>.</w:t>
      </w:r>
    </w:p>
    <w:p w:rsidR="003B3D52" w:rsidRPr="00494DED" w:rsidRDefault="003B3D52" w:rsidP="003B3D52">
      <w:pPr>
        <w:jc w:val="both"/>
        <w:rPr>
          <w:lang w:val="ru-RU"/>
        </w:rPr>
      </w:pPr>
      <w:r>
        <w:rPr>
          <w:lang w:val="ru-RU"/>
        </w:rPr>
        <w:t xml:space="preserve">1.9. </w:t>
      </w:r>
      <w:r w:rsidRPr="00494DED">
        <w:rPr>
          <w:lang w:val="ru-RU"/>
        </w:rPr>
        <w:t>Цените следва да бъдат определени до пълното изпълнение на поръчката.</w:t>
      </w:r>
    </w:p>
    <w:p w:rsidR="003B3D52" w:rsidRPr="00494DED" w:rsidRDefault="003B3D52" w:rsidP="003B3D52">
      <w:pPr>
        <w:jc w:val="both"/>
        <w:rPr>
          <w:lang w:val="ru-RU"/>
        </w:rPr>
      </w:pPr>
      <w:r>
        <w:rPr>
          <w:lang w:val="ru-RU"/>
        </w:rPr>
        <w:t xml:space="preserve">1.10. </w:t>
      </w:r>
      <w:r w:rsidRPr="00494DED">
        <w:rPr>
          <w:lang w:val="ru-RU"/>
        </w:rPr>
        <w:t xml:space="preserve">До изтичане на срока за подаване на офертите всеки </w:t>
      </w:r>
      <w:r w:rsidRPr="00494DED">
        <w:t>участник</w:t>
      </w:r>
      <w:r w:rsidRPr="00494DED">
        <w:rPr>
          <w:lang w:val="ru-RU"/>
        </w:rPr>
        <w:t xml:space="preserve"> в процедурата може да промени, допълни или да оттегли офертата си.</w:t>
      </w:r>
    </w:p>
    <w:p w:rsidR="003B3D52" w:rsidRDefault="003B3D52" w:rsidP="003B3D52">
      <w:pPr>
        <w:jc w:val="both"/>
        <w:rPr>
          <w:lang w:val="ru-RU"/>
        </w:rPr>
      </w:pPr>
      <w:r>
        <w:rPr>
          <w:lang w:val="ru-RU"/>
        </w:rPr>
        <w:t xml:space="preserve">1.11. </w:t>
      </w:r>
      <w:r w:rsidRPr="00494DED">
        <w:rPr>
          <w:lang w:val="ru-RU"/>
        </w:rPr>
        <w:t xml:space="preserve">Оферта, представена след изтичане на крайния срок, не се приема от Възложителя. Не се приема и оферта в плик, незапечатан или с нарушена цялост. Такава оферта се връща на </w:t>
      </w:r>
      <w:r w:rsidRPr="00494DED">
        <w:t>участника</w:t>
      </w:r>
      <w:r w:rsidRPr="00494DED">
        <w:rPr>
          <w:lang w:val="ru-RU"/>
        </w:rPr>
        <w:t xml:space="preserve"> и това се отбелязва в регистъра на Възложителя.</w:t>
      </w:r>
    </w:p>
    <w:p w:rsidR="003B3D52" w:rsidRDefault="003B3D52" w:rsidP="003B3D52">
      <w:pPr>
        <w:jc w:val="both"/>
        <w:rPr>
          <w:lang w:val="ru-RU"/>
        </w:rPr>
      </w:pPr>
      <w:r>
        <w:rPr>
          <w:lang w:val="ru-RU"/>
        </w:rPr>
        <w:t xml:space="preserve">1.12. </w:t>
      </w:r>
      <w:r w:rsidRPr="00494DED">
        <w:rPr>
          <w:lang w:val="ru-RU"/>
        </w:rPr>
        <w:t xml:space="preserve">След крайния срок за подаване на офертите  всеки опит на участниците да извършват изменения или допълване на офертите ще се считат за оттегляне на офертата. </w:t>
      </w:r>
    </w:p>
    <w:p w:rsidR="003B3D52" w:rsidRPr="00595AC8" w:rsidRDefault="003B3D52" w:rsidP="003B3D52">
      <w:pPr>
        <w:jc w:val="both"/>
        <w:rPr>
          <w:lang w:val="ru-RU"/>
        </w:rPr>
      </w:pPr>
      <w:r w:rsidRPr="00595AC8">
        <w:rPr>
          <w:lang w:val="ru-RU"/>
        </w:rPr>
        <w:t>1.13.При разглеждане на офертата, комисията има право да приложи чл.68, ал.8 от ЗОП като изиска от участниците документи, описани но не представени в офертата.  Не се допуска промяна на техническото и ценово предложение.</w:t>
      </w:r>
    </w:p>
    <w:p w:rsidR="003B3D52" w:rsidRPr="00595AC8" w:rsidRDefault="003B3D52" w:rsidP="003B3D52">
      <w:pPr>
        <w:spacing w:before="40" w:after="40"/>
        <w:ind w:right="-2"/>
        <w:jc w:val="both"/>
      </w:pPr>
      <w:r w:rsidRPr="00595AC8">
        <w:t>1.14.</w:t>
      </w:r>
      <w:r w:rsidRPr="00595AC8">
        <w:rPr>
          <w:lang w:val="ru-RU"/>
        </w:rPr>
        <w:t xml:space="preserve"> В случай, че бъде открито несъответствие</w:t>
      </w:r>
      <w:r w:rsidRPr="00595AC8">
        <w:t xml:space="preserve"> </w:t>
      </w:r>
      <w:r w:rsidRPr="00595AC8">
        <w:rPr>
          <w:lang w:val="ru-RU"/>
        </w:rPr>
        <w:t xml:space="preserve">между предложените единични цени и обща </w:t>
      </w:r>
      <w:r w:rsidRPr="00595AC8">
        <w:t>стойност</w:t>
      </w:r>
      <w:r w:rsidRPr="00595AC8">
        <w:rPr>
          <w:lang w:val="ru-RU"/>
        </w:rPr>
        <w:t xml:space="preserve">, </w:t>
      </w:r>
      <w:r w:rsidRPr="00595AC8">
        <w:t>поради допусната техническа грешка от страна на участника, комисията</w:t>
      </w:r>
      <w:r w:rsidRPr="00595AC8">
        <w:rPr>
          <w:lang w:val="ru-RU"/>
        </w:rPr>
        <w:t xml:space="preserve"> класира  офертата</w:t>
      </w:r>
      <w:r w:rsidRPr="00595AC8">
        <w:t xml:space="preserve"> на база предложените по-ниски цени. Участникът, определен за </w:t>
      </w:r>
      <w:r w:rsidRPr="00595AC8">
        <w:lastRenderedPageBreak/>
        <w:t>изпълнител е длъжен да представи на възложителя, ново ценово предложение, съответстващо на сто</w:t>
      </w:r>
      <w:r>
        <w:t>йността, изчислена от комисията, като се коригира само сгрешената единична цена или обща стойност.</w:t>
      </w:r>
      <w:r w:rsidRPr="00595AC8">
        <w:t xml:space="preserve"> </w:t>
      </w:r>
    </w:p>
    <w:p w:rsidR="003B3D52" w:rsidRPr="00F12C01" w:rsidRDefault="003B3D52" w:rsidP="003B3D52">
      <w:pPr>
        <w:spacing w:before="40" w:after="40"/>
        <w:ind w:right="-2"/>
        <w:jc w:val="both"/>
      </w:pPr>
      <w:r w:rsidRPr="00595AC8">
        <w:rPr>
          <w:lang w:val="ru-RU"/>
        </w:rPr>
        <w:t xml:space="preserve">1.15. </w:t>
      </w:r>
      <w:r w:rsidRPr="00595AC8">
        <w:t>Допълнителна информация, свързана с участие в процедурата за възлагане на</w:t>
      </w:r>
      <w:r w:rsidRPr="00F12C01">
        <w:t xml:space="preserve"> обществената поръчка:</w:t>
      </w:r>
    </w:p>
    <w:p w:rsidR="003B3D52" w:rsidRPr="00F12C01" w:rsidRDefault="003B3D52" w:rsidP="003B3D52">
      <w:pPr>
        <w:spacing w:before="40" w:after="40"/>
        <w:ind w:right="-2"/>
        <w:rPr>
          <w:lang w:val="ru-RU"/>
        </w:rPr>
      </w:pPr>
      <w:r w:rsidRPr="00F12C01">
        <w:rPr>
          <w:lang w:val="ru-RU"/>
        </w:rPr>
        <w:t xml:space="preserve">Информация за задълженията, свързани с данъци и осигуровки, опазване на околната среда, закрила на заетостта и условията на труд. </w:t>
      </w:r>
    </w:p>
    <w:p w:rsidR="003B3D52" w:rsidRPr="00F12C01" w:rsidRDefault="003B3D52" w:rsidP="003B3D52">
      <w:pPr>
        <w:spacing w:before="40" w:after="40"/>
        <w:ind w:right="-2"/>
        <w:jc w:val="both"/>
        <w:rPr>
          <w:lang w:val="ru-RU"/>
        </w:rPr>
      </w:pPr>
      <w:r w:rsidRPr="00F12C01">
        <w:rPr>
          <w:lang w:val="ru-RU"/>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3B3D52" w:rsidRPr="00F12C01" w:rsidRDefault="003B3D52" w:rsidP="003B3D52">
      <w:pPr>
        <w:tabs>
          <w:tab w:val="left" w:pos="567"/>
        </w:tabs>
        <w:spacing w:before="40" w:after="40"/>
        <w:ind w:right="-2"/>
        <w:jc w:val="both"/>
        <w:rPr>
          <w:lang w:val="ru-RU"/>
        </w:rPr>
      </w:pPr>
      <w:r>
        <w:rPr>
          <w:lang w:val="ru-RU"/>
        </w:rPr>
        <w:t xml:space="preserve">А) </w:t>
      </w:r>
      <w:r w:rsidRPr="00F12C01">
        <w:rPr>
          <w:lang w:val="ru-RU"/>
        </w:rPr>
        <w:t>Относно задълженията, свързани с данъци и осигуровки:</w:t>
      </w:r>
    </w:p>
    <w:p w:rsidR="003B3D52" w:rsidRPr="00F12C01" w:rsidRDefault="003B3D52" w:rsidP="003B3D52">
      <w:pPr>
        <w:tabs>
          <w:tab w:val="left" w:pos="57"/>
        </w:tabs>
        <w:spacing w:before="40" w:after="40"/>
        <w:ind w:right="-2"/>
        <w:jc w:val="both"/>
      </w:pPr>
      <w:r w:rsidRPr="00F12C01">
        <w:t>Национална агенция по приходите:</w:t>
      </w:r>
    </w:p>
    <w:p w:rsidR="003B3D52" w:rsidRPr="00F12C01" w:rsidRDefault="003B3D52" w:rsidP="003B3D52">
      <w:pPr>
        <w:tabs>
          <w:tab w:val="left" w:pos="284"/>
        </w:tabs>
        <w:spacing w:before="40" w:after="40"/>
        <w:ind w:right="-2"/>
      </w:pPr>
      <w:r w:rsidRPr="00F12C01">
        <w:t xml:space="preserve">-        Информационен телефон на НАП - 0700 18 700; </w:t>
      </w:r>
    </w:p>
    <w:p w:rsidR="003B3D52" w:rsidRPr="00B95002" w:rsidRDefault="003B3D52" w:rsidP="003B3D52">
      <w:pPr>
        <w:tabs>
          <w:tab w:val="left" w:pos="284"/>
        </w:tabs>
        <w:spacing w:before="40" w:after="40"/>
        <w:ind w:right="-2"/>
        <w:rPr>
          <w:lang w:val="ru-RU"/>
        </w:rPr>
      </w:pPr>
      <w:r w:rsidRPr="00F12C01">
        <w:t xml:space="preserve">-        интернет адрес: </w:t>
      </w:r>
      <w:hyperlink r:id="rId5" w:history="1">
        <w:r w:rsidRPr="00F12C01">
          <w:rPr>
            <w:rStyle w:val="Hyperlink"/>
          </w:rPr>
          <w:t>http://www.nap.bg</w:t>
        </w:r>
        <w:r w:rsidRPr="00B95002">
          <w:rPr>
            <w:rStyle w:val="Hyperlink"/>
            <w:lang w:val="ru-RU"/>
          </w:rPr>
          <w:t>/</w:t>
        </w:r>
      </w:hyperlink>
    </w:p>
    <w:p w:rsidR="003B3D52" w:rsidRPr="00F12C01" w:rsidRDefault="003B3D52" w:rsidP="003B3D52">
      <w:pPr>
        <w:tabs>
          <w:tab w:val="left" w:pos="284"/>
        </w:tabs>
        <w:spacing w:before="40" w:after="40"/>
        <w:ind w:right="-2"/>
      </w:pPr>
      <w:r>
        <w:t xml:space="preserve">Б) </w:t>
      </w:r>
      <w:r w:rsidRPr="00F12C01">
        <w:t>Относно задълженията, опазване на околната среда:</w:t>
      </w:r>
    </w:p>
    <w:p w:rsidR="003B3D52" w:rsidRPr="00F12C01" w:rsidRDefault="003B3D52" w:rsidP="003B3D52">
      <w:pPr>
        <w:tabs>
          <w:tab w:val="left" w:pos="57"/>
          <w:tab w:val="left" w:pos="284"/>
        </w:tabs>
        <w:spacing w:before="40" w:after="40"/>
        <w:ind w:right="-2"/>
        <w:jc w:val="both"/>
      </w:pPr>
      <w:r w:rsidRPr="00F12C01">
        <w:t>Министерство на околната среда и водите:</w:t>
      </w:r>
    </w:p>
    <w:p w:rsidR="003B3D52" w:rsidRPr="00F12C01" w:rsidRDefault="003B3D52" w:rsidP="003B3D52">
      <w:pPr>
        <w:tabs>
          <w:tab w:val="left" w:pos="57"/>
          <w:tab w:val="left" w:pos="284"/>
        </w:tabs>
        <w:spacing w:before="40" w:after="40"/>
        <w:ind w:right="-2"/>
        <w:jc w:val="both"/>
      </w:pPr>
      <w:r w:rsidRPr="00F12C01">
        <w:t>-        Информационен център на МОСВ; работи за посетители всеки работен ден от 14 до 17 ч.;</w:t>
      </w:r>
    </w:p>
    <w:p w:rsidR="003B3D52" w:rsidRPr="00F12C01" w:rsidRDefault="003B3D52" w:rsidP="003B3D52">
      <w:pPr>
        <w:tabs>
          <w:tab w:val="left" w:pos="57"/>
          <w:tab w:val="left" w:pos="284"/>
        </w:tabs>
        <w:spacing w:before="40" w:after="40"/>
        <w:ind w:right="-2"/>
        <w:jc w:val="both"/>
      </w:pPr>
      <w:r w:rsidRPr="00F12C01">
        <w:t>-         София</w:t>
      </w:r>
      <w:r w:rsidRPr="00B95002">
        <w:rPr>
          <w:lang w:val="ru-RU"/>
        </w:rPr>
        <w:t xml:space="preserve"> </w:t>
      </w:r>
      <w:r w:rsidRPr="00F12C01">
        <w:t xml:space="preserve">1000, ул. "У. </w:t>
      </w:r>
      <w:proofErr w:type="spellStart"/>
      <w:r w:rsidRPr="00F12C01">
        <w:t>Гладстон</w:t>
      </w:r>
      <w:proofErr w:type="spellEnd"/>
      <w:r w:rsidRPr="00F12C01">
        <w:t>" № 67, Телефон: 02/ 940 6331;</w:t>
      </w:r>
    </w:p>
    <w:p w:rsidR="003B3D52" w:rsidRPr="00F12C01" w:rsidRDefault="003B3D52" w:rsidP="003B3D52">
      <w:pPr>
        <w:tabs>
          <w:tab w:val="left" w:pos="57"/>
          <w:tab w:val="left" w:pos="284"/>
        </w:tabs>
        <w:spacing w:before="40" w:after="40"/>
        <w:ind w:right="-2"/>
        <w:jc w:val="both"/>
      </w:pPr>
      <w:r w:rsidRPr="00F12C01">
        <w:t xml:space="preserve">-        Интернет адрес: </w:t>
      </w:r>
      <w:r w:rsidRPr="00F12C01">
        <w:rPr>
          <w:u w:val="single"/>
        </w:rPr>
        <w:t> </w:t>
      </w:r>
      <w:hyperlink r:id="rId6" w:history="1">
        <w:r w:rsidRPr="00F12C01">
          <w:rPr>
            <w:rStyle w:val="Hyperlink"/>
          </w:rPr>
          <w:t>http://www3.moew.government.bg/</w:t>
        </w:r>
      </w:hyperlink>
    </w:p>
    <w:p w:rsidR="003B3D52" w:rsidRPr="00F12C01" w:rsidRDefault="003B3D52" w:rsidP="003B3D52">
      <w:pPr>
        <w:tabs>
          <w:tab w:val="left" w:pos="57"/>
          <w:tab w:val="left" w:pos="284"/>
        </w:tabs>
        <w:spacing w:before="40" w:after="40"/>
        <w:ind w:right="-2"/>
      </w:pPr>
      <w:r>
        <w:t xml:space="preserve">В) </w:t>
      </w:r>
      <w:r w:rsidRPr="00F12C01">
        <w:t xml:space="preserve"> Относно задълженията, закрила на заетостта и условията на труд:</w:t>
      </w:r>
    </w:p>
    <w:p w:rsidR="003B3D52" w:rsidRPr="00F12C01" w:rsidRDefault="003B3D52" w:rsidP="003B3D52">
      <w:pPr>
        <w:tabs>
          <w:tab w:val="left" w:pos="57"/>
          <w:tab w:val="left" w:pos="284"/>
        </w:tabs>
        <w:spacing w:before="40" w:after="40"/>
        <w:ind w:right="-2"/>
        <w:jc w:val="both"/>
      </w:pPr>
      <w:r w:rsidRPr="00F12C01">
        <w:t>Министерство на труда и социалната политика:</w:t>
      </w:r>
    </w:p>
    <w:p w:rsidR="003B3D52" w:rsidRPr="00F12C01" w:rsidRDefault="003B3D52" w:rsidP="003B3D52">
      <w:pPr>
        <w:tabs>
          <w:tab w:val="left" w:pos="284"/>
          <w:tab w:val="left" w:pos="627"/>
        </w:tabs>
        <w:spacing w:before="40" w:after="40"/>
        <w:ind w:right="-2"/>
        <w:jc w:val="both"/>
        <w:rPr>
          <w:color w:val="0000FF"/>
          <w:u w:val="single"/>
        </w:rPr>
      </w:pPr>
      <w:r w:rsidRPr="00F12C01">
        <w:t xml:space="preserve">-        Интернет адрес:  </w:t>
      </w:r>
      <w:hyperlink r:id="rId7" w:history="1">
        <w:r w:rsidRPr="00F12C01">
          <w:rPr>
            <w:rStyle w:val="Hyperlink"/>
          </w:rPr>
          <w:t>http://www.mlsp.government.b</w:t>
        </w:r>
        <w:r w:rsidRPr="00F12C01">
          <w:rPr>
            <w:rStyle w:val="Hyperlink"/>
            <w:lang w:val="en-US"/>
          </w:rPr>
          <w:t>g</w:t>
        </w:r>
      </w:hyperlink>
    </w:p>
    <w:p w:rsidR="003B3D52" w:rsidRPr="0019784D" w:rsidRDefault="003B3D52" w:rsidP="003B3D52">
      <w:pPr>
        <w:pStyle w:val="Header"/>
        <w:tabs>
          <w:tab w:val="clear" w:pos="4153"/>
          <w:tab w:val="clear" w:pos="8306"/>
        </w:tabs>
        <w:ind w:right="-2"/>
        <w:rPr>
          <w:b/>
          <w:bCs/>
          <w:sz w:val="24"/>
          <w:szCs w:val="24"/>
        </w:rPr>
      </w:pPr>
      <w:r w:rsidRPr="00F12C01">
        <w:rPr>
          <w:sz w:val="24"/>
          <w:szCs w:val="24"/>
        </w:rPr>
        <w:t xml:space="preserve">-        </w:t>
      </w:r>
      <w:proofErr w:type="spellStart"/>
      <w:r w:rsidRPr="00F12C01">
        <w:rPr>
          <w:sz w:val="24"/>
          <w:szCs w:val="24"/>
        </w:rPr>
        <w:t>София</w:t>
      </w:r>
      <w:proofErr w:type="spellEnd"/>
      <w:r w:rsidRPr="00F12C01">
        <w:rPr>
          <w:sz w:val="24"/>
          <w:szCs w:val="24"/>
        </w:rPr>
        <w:t xml:space="preserve"> 1051, </w:t>
      </w:r>
      <w:proofErr w:type="spellStart"/>
      <w:r w:rsidRPr="00F12C01">
        <w:rPr>
          <w:sz w:val="24"/>
          <w:szCs w:val="24"/>
        </w:rPr>
        <w:t>ул</w:t>
      </w:r>
      <w:proofErr w:type="spellEnd"/>
      <w:r w:rsidRPr="00F12C01">
        <w:rPr>
          <w:sz w:val="24"/>
          <w:szCs w:val="24"/>
        </w:rPr>
        <w:t xml:space="preserve">. </w:t>
      </w:r>
      <w:proofErr w:type="spellStart"/>
      <w:r w:rsidRPr="00F12C01">
        <w:rPr>
          <w:sz w:val="24"/>
          <w:szCs w:val="24"/>
        </w:rPr>
        <w:t>Триадица</w:t>
      </w:r>
      <w:proofErr w:type="spellEnd"/>
      <w:r w:rsidRPr="00F12C01">
        <w:rPr>
          <w:sz w:val="24"/>
          <w:szCs w:val="24"/>
        </w:rPr>
        <w:t xml:space="preserve"> №2, </w:t>
      </w:r>
      <w:proofErr w:type="spellStart"/>
      <w:r w:rsidRPr="00F12C01">
        <w:rPr>
          <w:sz w:val="24"/>
          <w:szCs w:val="24"/>
        </w:rPr>
        <w:t>Телефон</w:t>
      </w:r>
      <w:proofErr w:type="spellEnd"/>
      <w:r w:rsidRPr="00F12C01">
        <w:rPr>
          <w:sz w:val="24"/>
          <w:szCs w:val="24"/>
        </w:rPr>
        <w:t>: 8119 443</w:t>
      </w:r>
    </w:p>
    <w:p w:rsidR="00571C4E" w:rsidRDefault="00571C4E">
      <w:bookmarkStart w:id="0" w:name="_GoBack"/>
      <w:bookmarkEnd w:id="0"/>
    </w:p>
    <w:sectPr w:rsidR="00571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3F"/>
    <w:rsid w:val="00364F3F"/>
    <w:rsid w:val="003B3D52"/>
    <w:rsid w:val="00571C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6B8DA-0070-413A-84DE-F77A336C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F3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64F3F"/>
    <w:rPr>
      <w:color w:val="0000FF"/>
      <w:u w:val="single"/>
    </w:rPr>
  </w:style>
  <w:style w:type="character" w:customStyle="1" w:styleId="HeaderChar">
    <w:name w:val="Header Char"/>
    <w:aliases w:val="Header1 Char,Char Char, Char Char"/>
    <w:basedOn w:val="DefaultParagraphFont"/>
    <w:link w:val="Header"/>
    <w:locked/>
    <w:rsid w:val="00364F3F"/>
    <w:rPr>
      <w:sz w:val="28"/>
      <w:lang w:val="en-AU"/>
    </w:rPr>
  </w:style>
  <w:style w:type="paragraph" w:styleId="Header">
    <w:name w:val="header"/>
    <w:aliases w:val="Header1,Char, Char"/>
    <w:basedOn w:val="Normal"/>
    <w:link w:val="HeaderChar"/>
    <w:unhideWhenUsed/>
    <w:rsid w:val="00364F3F"/>
    <w:pPr>
      <w:tabs>
        <w:tab w:val="center" w:pos="4153"/>
        <w:tab w:val="right" w:pos="8306"/>
      </w:tabs>
      <w:overflowPunct w:val="0"/>
      <w:autoSpaceDE w:val="0"/>
      <w:autoSpaceDN w:val="0"/>
      <w:adjustRightInd w:val="0"/>
      <w:jc w:val="both"/>
    </w:pPr>
    <w:rPr>
      <w:rFonts w:asciiTheme="minorHAnsi" w:eastAsiaTheme="minorHAnsi" w:hAnsiTheme="minorHAnsi" w:cstheme="minorBidi"/>
      <w:sz w:val="28"/>
      <w:szCs w:val="22"/>
      <w:lang w:val="en-AU" w:eastAsia="en-US"/>
    </w:rPr>
  </w:style>
  <w:style w:type="character" w:customStyle="1" w:styleId="HeaderChar1">
    <w:name w:val="Header Char1"/>
    <w:basedOn w:val="DefaultParagraphFont"/>
    <w:uiPriority w:val="99"/>
    <w:semiHidden/>
    <w:rsid w:val="00364F3F"/>
    <w:rPr>
      <w:rFonts w:ascii="Times New Roman" w:eastAsia="Times New Roman" w:hAnsi="Times New Roman" w:cs="Times New Roman"/>
      <w:sz w:val="24"/>
      <w:szCs w:val="24"/>
      <w:lang w:eastAsia="bg-BG"/>
    </w:rPr>
  </w:style>
  <w:style w:type="paragraph" w:customStyle="1" w:styleId="Default">
    <w:name w:val="Default"/>
    <w:rsid w:val="00364F3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
    <w:name w:val=" Char Char Char Char"/>
    <w:basedOn w:val="Normal"/>
    <w:rsid w:val="003B3D52"/>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0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lsp.government.b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3.moew.government.bg/" TargetMode="External"/><Relationship Id="rId5" Type="http://schemas.openxmlformats.org/officeDocument/2006/relationships/hyperlink" Target="http://www.nap.b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80107-5072-4BBE-81D7-434D8695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 Петров Николов</dc:creator>
  <cp:keywords/>
  <dc:description/>
  <cp:lastModifiedBy>Георги Петров Николов</cp:lastModifiedBy>
  <cp:revision>2</cp:revision>
  <dcterms:created xsi:type="dcterms:W3CDTF">2015-02-24T11:22:00Z</dcterms:created>
  <dcterms:modified xsi:type="dcterms:W3CDTF">2015-04-27T06:46:00Z</dcterms:modified>
</cp:coreProperties>
</file>